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815" w:rsidRPr="001B15A9" w:rsidRDefault="006E7815" w:rsidP="001B15A9">
      <w:pPr>
        <w:pStyle w:val="CCHTtulo"/>
        <w:rPr>
          <w:color w:val="365F91" w:themeColor="accent1" w:themeShade="BF"/>
        </w:rPr>
      </w:pPr>
      <w:r w:rsidRPr="001B15A9">
        <w:rPr>
          <w:color w:val="365F91" w:themeColor="accent1" w:themeShade="BF"/>
        </w:rPr>
        <w:t>Biología I</w:t>
      </w:r>
    </w:p>
    <w:p w:rsidR="006E7815" w:rsidRPr="001B15A9" w:rsidRDefault="001B15A9" w:rsidP="001B15A9">
      <w:pPr>
        <w:pStyle w:val="Default"/>
        <w:jc w:val="center"/>
        <w:rPr>
          <w:rFonts w:ascii="Arial" w:hAnsi="Arial" w:cs="Arial"/>
          <w:b/>
          <w:color w:val="365F91" w:themeColor="accent1" w:themeShade="BF"/>
        </w:rPr>
      </w:pPr>
      <w:r w:rsidRPr="001B15A9">
        <w:rPr>
          <w:rFonts w:ascii="Arial" w:hAnsi="Arial" w:cs="Arial"/>
          <w:b/>
          <w:color w:val="365F91" w:themeColor="accent1" w:themeShade="BF"/>
        </w:rPr>
        <w:t xml:space="preserve">Unidad 3 </w:t>
      </w:r>
      <w:r w:rsidRPr="001B15A9">
        <w:rPr>
          <w:rFonts w:ascii="Arial" w:hAnsi="Arial" w:cs="Arial"/>
          <w:b/>
          <w:bCs/>
          <w:color w:val="365F91" w:themeColor="accent1" w:themeShade="BF"/>
          <w:lang w:val="es-MX" w:eastAsia="es-MX"/>
        </w:rPr>
        <w:t>¿Cómo interactúan los sistemas vivos con su ambiente?</w:t>
      </w:r>
    </w:p>
    <w:p w:rsidR="001B15A9" w:rsidRPr="001B15A9" w:rsidRDefault="00C1309A" w:rsidP="001B15A9">
      <w:pPr>
        <w:pStyle w:val="Predeterminado"/>
        <w:widowControl w:val="0"/>
        <w:ind w:left="714" w:right="135"/>
        <w:jc w:val="center"/>
        <w:rPr>
          <w:rFonts w:cs="Arial"/>
          <w:b/>
          <w:color w:val="365F91" w:themeColor="accent1" w:themeShade="BF"/>
        </w:rPr>
      </w:pPr>
      <w:r>
        <w:rPr>
          <w:rFonts w:cs="Arial"/>
          <w:b/>
          <w:color w:val="365F91" w:themeColor="accent1" w:themeShade="BF"/>
        </w:rPr>
        <w:t>OA22</w:t>
      </w:r>
      <w:r w:rsidR="006E7815" w:rsidRPr="001B15A9">
        <w:rPr>
          <w:rFonts w:cs="Arial"/>
          <w:b/>
          <w:color w:val="365F91" w:themeColor="accent1" w:themeShade="BF"/>
        </w:rPr>
        <w:t xml:space="preserve"> </w:t>
      </w:r>
      <w:r w:rsidR="00CD5B1C">
        <w:rPr>
          <w:rFonts w:cs="Arial"/>
          <w:b/>
          <w:bCs/>
          <w:color w:val="365F91" w:themeColor="accent1" w:themeShade="BF"/>
        </w:rPr>
        <w:t>M</w:t>
      </w:r>
      <w:r w:rsidR="001B15A9" w:rsidRPr="001B15A9">
        <w:rPr>
          <w:rFonts w:cs="Arial"/>
          <w:b/>
          <w:color w:val="365F91" w:themeColor="accent1" w:themeShade="BF"/>
        </w:rPr>
        <w:t>anipulación genética</w:t>
      </w:r>
      <w:r w:rsidR="005C1F76">
        <w:rPr>
          <w:rFonts w:cs="Arial"/>
          <w:b/>
          <w:color w:val="365F91" w:themeColor="accent1" w:themeShade="BF"/>
        </w:rPr>
        <w:t xml:space="preserve"> I</w:t>
      </w:r>
      <w:bookmarkStart w:id="0" w:name="_GoBack"/>
      <w:bookmarkEnd w:id="0"/>
    </w:p>
    <w:p w:rsidR="006E7815" w:rsidRPr="0034724A" w:rsidRDefault="006E7815" w:rsidP="006E7815">
      <w:pPr>
        <w:pStyle w:val="CCHTtulo"/>
      </w:pPr>
    </w:p>
    <w:p w:rsidR="006E7815" w:rsidRPr="006E7815" w:rsidRDefault="006E7815" w:rsidP="006E7815">
      <w:pPr>
        <w:rPr>
          <w:b/>
        </w:rPr>
      </w:pPr>
      <w:r w:rsidRPr="006E7815">
        <w:rPr>
          <w:b/>
        </w:rPr>
        <w:t>Soya</w:t>
      </w:r>
    </w:p>
    <w:p w:rsidR="006E7815" w:rsidRPr="006E7815" w:rsidRDefault="006E7815" w:rsidP="006E7815">
      <w:pPr>
        <w:pStyle w:val="Predeterminado"/>
        <w:spacing w:before="40" w:after="40"/>
        <w:jc w:val="both"/>
        <w:rPr>
          <w:rFonts w:asciiTheme="minorHAnsi" w:hAnsiTheme="minorHAnsi"/>
          <w:sz w:val="22"/>
          <w:szCs w:val="22"/>
        </w:rPr>
      </w:pPr>
      <w:r w:rsidRPr="006E7815">
        <w:rPr>
          <w:rFonts w:asciiTheme="minorHAnsi" w:hAnsiTheme="minorHAnsi" w:cs="Calibri"/>
          <w:sz w:val="22"/>
          <w:szCs w:val="22"/>
        </w:rPr>
        <w:t xml:space="preserve">Por su repercusión en Europa, los casos de la </w:t>
      </w:r>
      <w:r w:rsidRPr="00104AEB">
        <w:rPr>
          <w:rFonts w:asciiTheme="minorHAnsi" w:hAnsiTheme="minorHAnsi" w:cs="Calibri"/>
          <w:b/>
          <w:sz w:val="22"/>
          <w:szCs w:val="22"/>
        </w:rPr>
        <w:t>soya</w:t>
      </w:r>
      <w:r w:rsidRPr="00104AEB">
        <w:rPr>
          <w:rFonts w:asciiTheme="minorHAnsi" w:hAnsiTheme="minorHAnsi" w:cs="Calibri"/>
          <w:sz w:val="22"/>
          <w:szCs w:val="22"/>
        </w:rPr>
        <w:t xml:space="preserve"> </w:t>
      </w:r>
      <w:r w:rsidRPr="006E7815">
        <w:rPr>
          <w:rFonts w:asciiTheme="minorHAnsi" w:hAnsiTheme="minorHAnsi" w:cs="Calibri"/>
          <w:sz w:val="22"/>
          <w:szCs w:val="22"/>
        </w:rPr>
        <w:t>y el maíz transgénicos resultan de especial relevancia. La soya se utiliza en un 40-60% de los alimentos procesados: aceite, margarina, alimentos dietéticos e infantiles, cerveza, etc. Europa importa anualmente 9 millones de toneladas de los Estados Unidos por un importe de unos 1.400 millones de dólares, España, es el cuarto país i</w:t>
      </w:r>
      <w:r w:rsidR="00C1309A">
        <w:rPr>
          <w:rFonts w:asciiTheme="minorHAnsi" w:hAnsiTheme="minorHAnsi" w:cs="Calibri"/>
          <w:sz w:val="22"/>
          <w:szCs w:val="22"/>
        </w:rPr>
        <w:t>mportador detrás de Japón con 1.</w:t>
      </w:r>
      <w:r w:rsidRPr="006E7815">
        <w:rPr>
          <w:rFonts w:asciiTheme="minorHAnsi" w:hAnsiTheme="minorHAnsi" w:cs="Calibri"/>
          <w:sz w:val="22"/>
          <w:szCs w:val="22"/>
        </w:rPr>
        <w:t xml:space="preserve">5 millones de toneladas, Taiwan y Holanda. </w:t>
      </w:r>
    </w:p>
    <w:p w:rsidR="006E7815" w:rsidRPr="00C1309A" w:rsidRDefault="006E7815" w:rsidP="006E7815">
      <w:pPr>
        <w:pStyle w:val="Predeterminado"/>
        <w:spacing w:before="40" w:after="40"/>
        <w:jc w:val="both"/>
        <w:rPr>
          <w:rFonts w:asciiTheme="minorHAnsi" w:hAnsiTheme="minorHAnsi" w:cs="Calibri"/>
          <w:sz w:val="22"/>
          <w:szCs w:val="22"/>
        </w:rPr>
      </w:pPr>
      <w:r w:rsidRPr="006E7815">
        <w:rPr>
          <w:rFonts w:asciiTheme="minorHAnsi" w:hAnsiTheme="minorHAnsi" w:cs="Calibri"/>
          <w:sz w:val="22"/>
          <w:szCs w:val="22"/>
        </w:rPr>
        <w:t>El 2% de la soya producida en los Estados Uni</w:t>
      </w:r>
      <w:r w:rsidR="00C1309A">
        <w:rPr>
          <w:rFonts w:asciiTheme="minorHAnsi" w:hAnsiTheme="minorHAnsi" w:cs="Calibri"/>
          <w:sz w:val="22"/>
          <w:szCs w:val="22"/>
        </w:rPr>
        <w:t>dos es transgénica, y</w:t>
      </w:r>
      <w:r w:rsidRPr="006E7815">
        <w:rPr>
          <w:rFonts w:asciiTheme="minorHAnsi" w:hAnsiTheme="minorHAnsi" w:cs="Calibri"/>
          <w:sz w:val="22"/>
          <w:szCs w:val="22"/>
        </w:rPr>
        <w:t xml:space="preserve"> 40% </w:t>
      </w:r>
      <w:r w:rsidR="00C1309A">
        <w:rPr>
          <w:rFonts w:asciiTheme="minorHAnsi" w:hAnsiTheme="minorHAnsi" w:cs="Calibri"/>
          <w:sz w:val="22"/>
          <w:szCs w:val="22"/>
        </w:rPr>
        <w:t xml:space="preserve">de ésta </w:t>
      </w:r>
      <w:r w:rsidRPr="006E7815">
        <w:rPr>
          <w:rFonts w:asciiTheme="minorHAnsi" w:hAnsiTheme="minorHAnsi" w:cs="Calibri"/>
          <w:sz w:val="22"/>
          <w:szCs w:val="22"/>
        </w:rPr>
        <w:t>se exporta a Europa</w:t>
      </w:r>
      <w:r w:rsidR="00C1309A">
        <w:rPr>
          <w:rFonts w:asciiTheme="minorHAnsi" w:hAnsiTheme="minorHAnsi" w:cs="Calibri"/>
          <w:sz w:val="22"/>
          <w:szCs w:val="22"/>
        </w:rPr>
        <w:t>. A la soya transgénica</w:t>
      </w:r>
      <w:r w:rsidRPr="006E7815">
        <w:rPr>
          <w:rFonts w:asciiTheme="minorHAnsi" w:hAnsiTheme="minorHAnsi" w:cs="Calibri"/>
          <w:sz w:val="22"/>
          <w:szCs w:val="22"/>
        </w:rPr>
        <w:t xml:space="preserve"> obtenida por la compañía Monsanto, se le ha transferido un gen que produce resistencia al glifosfato, que es el elemento activo del herbicida "Roundup",</w:t>
      </w:r>
      <w:r w:rsidR="00C1309A">
        <w:rPr>
          <w:rFonts w:asciiTheme="minorHAnsi" w:hAnsiTheme="minorHAnsi" w:cs="Calibri"/>
          <w:sz w:val="22"/>
          <w:szCs w:val="22"/>
        </w:rPr>
        <w:t xml:space="preserve"> mismo que también se fabrica por dicha  compañía</w:t>
      </w:r>
      <w:r w:rsidRPr="006E7815">
        <w:rPr>
          <w:rFonts w:asciiTheme="minorHAnsi" w:hAnsiTheme="minorHAnsi" w:cs="Calibri"/>
          <w:sz w:val="22"/>
          <w:szCs w:val="22"/>
        </w:rPr>
        <w:t>. Este hecho, que es absolutamente lícito, es interpretado por algunos como un abuso de la compañía; algo así como si fuera juez y parte, ya que produce el herbicida y la semilla resistente al mismo.</w:t>
      </w:r>
    </w:p>
    <w:p w:rsidR="006E7815" w:rsidRDefault="006E7815" w:rsidP="006E7815">
      <w:pPr>
        <w:pStyle w:val="Predeterminado"/>
        <w:spacing w:before="40" w:after="40"/>
        <w:jc w:val="both"/>
        <w:rPr>
          <w:rFonts w:asciiTheme="minorHAnsi" w:hAnsiTheme="minorHAnsi" w:cs="Calibri"/>
          <w:sz w:val="22"/>
          <w:szCs w:val="22"/>
        </w:rPr>
      </w:pPr>
      <w:r w:rsidRPr="006E7815">
        <w:rPr>
          <w:rFonts w:asciiTheme="minorHAnsi" w:hAnsiTheme="minorHAnsi" w:cs="Calibri"/>
          <w:sz w:val="22"/>
          <w:szCs w:val="22"/>
        </w:rPr>
        <w:t>Ante la protesta de los movimientos ecologistas y la posibilidad de que fuera rechazada la semilla transgénica, los exportadores la mezclan con semilla de soya normal para evitar su identificación. Sin embargo, ya alguna compañía (por ejemplo, la Genetic ID, Iowa, USA) comercializó un test de diagnóstico que permite saber si la semi</w:t>
      </w:r>
      <w:r w:rsidR="00C1309A">
        <w:rPr>
          <w:rFonts w:asciiTheme="minorHAnsi" w:hAnsiTheme="minorHAnsi" w:cs="Calibri"/>
          <w:sz w:val="22"/>
          <w:szCs w:val="22"/>
        </w:rPr>
        <w:t>lla de soya es transgénica o no</w:t>
      </w:r>
      <w:r w:rsidRPr="006E7815">
        <w:rPr>
          <w:rFonts w:asciiTheme="minorHAnsi" w:hAnsiTheme="minorHAnsi" w:cs="Calibri"/>
          <w:sz w:val="22"/>
          <w:szCs w:val="22"/>
        </w:rPr>
        <w:t>; es decir, si lleva el gen de resistencia al herbicida.  Es importante señalar que la comercialización de la soya transgénica está autorizada en los Estados Unidos, Canadá, Japón y la Unión Europea (en esta última desde Abril de 1996).</w:t>
      </w:r>
    </w:p>
    <w:p w:rsidR="006E7815" w:rsidRPr="006E7815" w:rsidRDefault="006E7815" w:rsidP="006E7815">
      <w:pPr>
        <w:pStyle w:val="Predeterminado"/>
        <w:spacing w:before="40" w:after="40"/>
        <w:jc w:val="both"/>
        <w:rPr>
          <w:rFonts w:asciiTheme="minorHAnsi" w:hAnsiTheme="minorHAnsi"/>
          <w:sz w:val="22"/>
          <w:szCs w:val="22"/>
        </w:rPr>
      </w:pPr>
    </w:p>
    <w:p w:rsidR="006E7815" w:rsidRPr="006E7815" w:rsidRDefault="006E7815" w:rsidP="006E7815">
      <w:pPr>
        <w:pStyle w:val="Predeterminado"/>
        <w:spacing w:before="40" w:after="40"/>
        <w:jc w:val="both"/>
        <w:rPr>
          <w:rFonts w:asciiTheme="minorHAnsi" w:hAnsiTheme="minorHAnsi"/>
          <w:b/>
          <w:sz w:val="22"/>
          <w:szCs w:val="22"/>
        </w:rPr>
      </w:pPr>
      <w:r w:rsidRPr="006E7815">
        <w:rPr>
          <w:rFonts w:asciiTheme="minorHAnsi" w:hAnsiTheme="minorHAnsi" w:cs="Calibri"/>
          <w:b/>
          <w:sz w:val="22"/>
          <w:szCs w:val="22"/>
        </w:rPr>
        <w:t>Maíz</w:t>
      </w:r>
    </w:p>
    <w:p w:rsidR="006E7815" w:rsidRPr="006E7815" w:rsidRDefault="006E7815" w:rsidP="006E7815">
      <w:pPr>
        <w:pStyle w:val="Predeterminado"/>
        <w:spacing w:before="40" w:after="40"/>
        <w:jc w:val="both"/>
        <w:rPr>
          <w:rFonts w:asciiTheme="minorHAnsi" w:hAnsiTheme="minorHAnsi"/>
          <w:sz w:val="22"/>
          <w:szCs w:val="22"/>
        </w:rPr>
      </w:pPr>
      <w:r w:rsidRPr="006E7815">
        <w:rPr>
          <w:rFonts w:asciiTheme="minorHAnsi" w:hAnsiTheme="minorHAnsi" w:cs="Calibri"/>
          <w:sz w:val="22"/>
          <w:szCs w:val="22"/>
        </w:rPr>
        <w:t xml:space="preserve">Otro caso parecido es el del maíz transgénico producido por la multinacional Ciba-Geigy (hoy Novartis). Este maíz, además de resistente al </w:t>
      </w:r>
      <w:r w:rsidRPr="00C1309A">
        <w:rPr>
          <w:rFonts w:asciiTheme="minorHAnsi" w:hAnsiTheme="minorHAnsi" w:cs="Calibri"/>
          <w:b/>
          <w:sz w:val="22"/>
          <w:szCs w:val="22"/>
        </w:rPr>
        <w:t>glufosinato</w:t>
      </w:r>
      <w:r w:rsidRPr="00C1309A">
        <w:rPr>
          <w:rFonts w:asciiTheme="minorHAnsi" w:hAnsiTheme="minorHAnsi" w:cs="Calibri"/>
          <w:sz w:val="22"/>
          <w:szCs w:val="22"/>
        </w:rPr>
        <w:t xml:space="preserve"> </w:t>
      </w:r>
      <w:r w:rsidRPr="006E7815">
        <w:rPr>
          <w:rFonts w:asciiTheme="minorHAnsi" w:hAnsiTheme="minorHAnsi" w:cs="Calibri"/>
          <w:sz w:val="22"/>
          <w:szCs w:val="22"/>
        </w:rPr>
        <w:t>de amonio (que es componente activo del herbicida "Basta"), lo es también al "taladro", un insecto (</w:t>
      </w:r>
      <w:bookmarkStart w:id="1" w:name="__DdeLink__370_49110767"/>
      <w:r w:rsidRPr="006E7815">
        <w:rPr>
          <w:rFonts w:asciiTheme="minorHAnsi" w:hAnsiTheme="minorHAnsi" w:cs="Calibri"/>
          <w:i/>
          <w:sz w:val="22"/>
          <w:szCs w:val="22"/>
        </w:rPr>
        <w:t>Ostrinia nubilabis</w:t>
      </w:r>
      <w:bookmarkEnd w:id="1"/>
      <w:r w:rsidRPr="006E7815">
        <w:rPr>
          <w:rFonts w:asciiTheme="minorHAnsi" w:hAnsiTheme="minorHAnsi" w:cs="Calibri"/>
          <w:sz w:val="22"/>
          <w:szCs w:val="22"/>
        </w:rPr>
        <w:t>) que horada el tallo de la planta destruyé</w:t>
      </w:r>
      <w:r w:rsidR="00C1309A">
        <w:rPr>
          <w:rFonts w:asciiTheme="minorHAnsi" w:hAnsiTheme="minorHAnsi" w:cs="Calibri"/>
          <w:sz w:val="22"/>
          <w:szCs w:val="22"/>
        </w:rPr>
        <w:t>ndola. La resistencia la ocasiona</w:t>
      </w:r>
      <w:r w:rsidRPr="006E7815">
        <w:rPr>
          <w:rFonts w:asciiTheme="minorHAnsi" w:hAnsiTheme="minorHAnsi" w:cs="Calibri"/>
          <w:sz w:val="22"/>
          <w:szCs w:val="22"/>
        </w:rPr>
        <w:t xml:space="preserve"> el gen procedente de la bacteria </w:t>
      </w:r>
      <w:r w:rsidRPr="006E7815">
        <w:rPr>
          <w:rFonts w:asciiTheme="minorHAnsi" w:hAnsiTheme="minorHAnsi" w:cs="Calibri"/>
          <w:i/>
          <w:sz w:val="22"/>
          <w:szCs w:val="22"/>
        </w:rPr>
        <w:t>Bacillus thuringiensis</w:t>
      </w:r>
      <w:r w:rsidRPr="006E7815">
        <w:rPr>
          <w:rFonts w:asciiTheme="minorHAnsi" w:hAnsiTheme="minorHAnsi" w:cs="Calibri"/>
          <w:sz w:val="22"/>
          <w:szCs w:val="22"/>
        </w:rPr>
        <w:t xml:space="preserve"> que produce la proteína </w:t>
      </w:r>
      <w:r w:rsidRPr="006E7815">
        <w:rPr>
          <w:rFonts w:asciiTheme="minorHAnsi" w:hAnsiTheme="minorHAnsi" w:cs="Calibri"/>
          <w:i/>
          <w:sz w:val="22"/>
          <w:szCs w:val="22"/>
        </w:rPr>
        <w:t>Bt</w:t>
      </w:r>
      <w:r w:rsidRPr="006E7815">
        <w:rPr>
          <w:rFonts w:asciiTheme="minorHAnsi" w:hAnsiTheme="minorHAnsi" w:cs="Calibri"/>
          <w:sz w:val="22"/>
          <w:szCs w:val="22"/>
        </w:rPr>
        <w:t xml:space="preserve"> que es tóxica para la larva de los dípteros. El problema que puede presentar este maíz transgénico es que la manipulación genética realizada ha unido el gen </w:t>
      </w:r>
      <w:r w:rsidRPr="006E7815">
        <w:rPr>
          <w:rFonts w:asciiTheme="minorHAnsi" w:hAnsiTheme="minorHAnsi" w:cs="Calibri"/>
          <w:i/>
          <w:sz w:val="22"/>
          <w:szCs w:val="22"/>
        </w:rPr>
        <w:t>Bt</w:t>
      </w:r>
      <w:r w:rsidRPr="006E7815">
        <w:rPr>
          <w:rFonts w:asciiTheme="minorHAnsi" w:hAnsiTheme="minorHAnsi" w:cs="Calibri"/>
          <w:sz w:val="22"/>
          <w:szCs w:val="22"/>
        </w:rPr>
        <w:t xml:space="preserve"> a otro gen utilizado como marcador genético que produce resistencia </w:t>
      </w:r>
      <w:r w:rsidRPr="00C1309A">
        <w:rPr>
          <w:rFonts w:asciiTheme="minorHAnsi" w:hAnsiTheme="minorHAnsi" w:cs="Calibri"/>
          <w:sz w:val="22"/>
          <w:szCs w:val="22"/>
        </w:rPr>
        <w:t xml:space="preserve">a </w:t>
      </w:r>
      <w:r w:rsidRPr="00C1309A">
        <w:rPr>
          <w:rFonts w:asciiTheme="minorHAnsi" w:hAnsiTheme="minorHAnsi" w:cs="Calibri"/>
          <w:b/>
          <w:sz w:val="22"/>
          <w:szCs w:val="22"/>
        </w:rPr>
        <w:t>antibióticos betalactámicos</w:t>
      </w:r>
      <w:r w:rsidRPr="00C1309A">
        <w:rPr>
          <w:rFonts w:asciiTheme="minorHAnsi" w:hAnsiTheme="minorHAnsi" w:cs="Calibri"/>
          <w:sz w:val="22"/>
          <w:szCs w:val="22"/>
        </w:rPr>
        <w:t xml:space="preserve"> </w:t>
      </w:r>
      <w:r w:rsidRPr="006E7815">
        <w:rPr>
          <w:rFonts w:asciiTheme="minorHAnsi" w:hAnsiTheme="minorHAnsi" w:cs="Calibri"/>
          <w:sz w:val="22"/>
          <w:szCs w:val="22"/>
        </w:rPr>
        <w:t xml:space="preserve">(incluyendo la ampicilina). </w:t>
      </w:r>
    </w:p>
    <w:p w:rsidR="006E7815" w:rsidRPr="006E7815" w:rsidRDefault="006E7815" w:rsidP="006E7815">
      <w:pPr>
        <w:pStyle w:val="Predeterminado"/>
        <w:spacing w:before="40" w:after="40"/>
        <w:jc w:val="both"/>
        <w:rPr>
          <w:rFonts w:asciiTheme="minorHAnsi" w:hAnsiTheme="minorHAnsi"/>
          <w:sz w:val="22"/>
          <w:szCs w:val="22"/>
        </w:rPr>
      </w:pPr>
      <w:r w:rsidRPr="006E7815">
        <w:rPr>
          <w:rFonts w:asciiTheme="minorHAnsi" w:hAnsiTheme="minorHAnsi" w:cs="Calibri"/>
          <w:sz w:val="22"/>
          <w:szCs w:val="22"/>
        </w:rPr>
        <w:t>Los movimientos ecologistas han alertado sobre la posibilidad de que las bacterias del tracto intestinal animal y humano puedan incorporar directa o indirectamente l</w:t>
      </w:r>
      <w:r w:rsidR="00DC6324">
        <w:rPr>
          <w:rFonts w:asciiTheme="minorHAnsi" w:hAnsiTheme="minorHAnsi" w:cs="Calibri"/>
          <w:sz w:val="22"/>
          <w:szCs w:val="22"/>
        </w:rPr>
        <w:t>a información genética que da</w:t>
      </w:r>
      <w:r w:rsidRPr="006E7815">
        <w:rPr>
          <w:rFonts w:asciiTheme="minorHAnsi" w:hAnsiTheme="minorHAnsi" w:cs="Calibri"/>
          <w:sz w:val="22"/>
          <w:szCs w:val="22"/>
        </w:rPr>
        <w:t xml:space="preserve"> resistencia a tales antibióticos, con el consiguiente peligro sanitario. En este aspecto hay que decir que no hay evidencia científica alguna de que ello pueda ocurrir en la práctica aunque fuera teóricamente posible. Podría decirse que la probabilidad es cero.</w:t>
      </w:r>
    </w:p>
    <w:p w:rsidR="0067305B" w:rsidRPr="006E7815" w:rsidRDefault="006E7815" w:rsidP="006E7815">
      <w:pPr>
        <w:pStyle w:val="Predeterminado"/>
        <w:spacing w:before="40" w:after="40"/>
        <w:jc w:val="both"/>
        <w:rPr>
          <w:rFonts w:asciiTheme="minorHAnsi" w:hAnsiTheme="minorHAnsi" w:cs="Calibri"/>
          <w:sz w:val="22"/>
          <w:szCs w:val="22"/>
        </w:rPr>
      </w:pPr>
      <w:r w:rsidRPr="006E7815">
        <w:rPr>
          <w:rFonts w:asciiTheme="minorHAnsi" w:hAnsiTheme="minorHAnsi" w:cs="Calibri"/>
          <w:sz w:val="22"/>
          <w:szCs w:val="22"/>
        </w:rPr>
        <w:t xml:space="preserve">La comercialización del maíz transgénico está autorizada en los Estados Unidos (donde supone un 1-2% del maíz cultivado), Canadá, Japón y también en la Unión Europea desde Enero de 1997. </w:t>
      </w:r>
    </w:p>
    <w:sectPr w:rsidR="0067305B" w:rsidRPr="006E7815" w:rsidSect="0050338F">
      <w:headerReference w:type="default" r:id="rId8"/>
      <w:footerReference w:type="default" r:id="rId9"/>
      <w:pgSz w:w="12240" w:h="15840"/>
      <w:pgMar w:top="1985" w:right="1701" w:bottom="1417" w:left="1701" w:header="708" w:footer="2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253" w:rsidRDefault="00403253" w:rsidP="006E7815">
      <w:pPr>
        <w:spacing w:after="0" w:line="240" w:lineRule="auto"/>
      </w:pPr>
      <w:r>
        <w:separator/>
      </w:r>
    </w:p>
  </w:endnote>
  <w:endnote w:type="continuationSeparator" w:id="0">
    <w:p w:rsidR="00403253" w:rsidRDefault="00403253" w:rsidP="006E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 Sans Fallback">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38F" w:rsidRDefault="00053789">
    <w:pPr>
      <w:pStyle w:val="Piedepgina"/>
      <w:jc w:val="right"/>
    </w:pPr>
    <w:r>
      <w:rPr>
        <w:noProof/>
        <w:lang w:eastAsia="es-MX"/>
      </w:rPr>
      <w:drawing>
        <wp:anchor distT="0" distB="0" distL="114300" distR="114300" simplePos="0" relativeHeight="251660288" behindDoc="1" locked="0" layoutInCell="1" allowOverlap="1" wp14:anchorId="5BF94355" wp14:editId="04990A1F">
          <wp:simplePos x="0" y="0"/>
          <wp:positionH relativeFrom="column">
            <wp:posOffset>-1375410</wp:posOffset>
          </wp:positionH>
          <wp:positionV relativeFrom="paragraph">
            <wp:posOffset>221615</wp:posOffset>
          </wp:positionV>
          <wp:extent cx="8115300" cy="571500"/>
          <wp:effectExtent l="0" t="0" r="0" b="0"/>
          <wp:wrapNone/>
          <wp:docPr id="3" name="Imagen 3" descr="pi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s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5C1F76">
      <w:rPr>
        <w:noProof/>
      </w:rPr>
      <w:t>1</w:t>
    </w:r>
    <w:r>
      <w:fldChar w:fldCharType="end"/>
    </w:r>
  </w:p>
  <w:p w:rsidR="0050338F" w:rsidRDefault="00CC3A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253" w:rsidRDefault="00403253" w:rsidP="006E7815">
      <w:pPr>
        <w:spacing w:after="0" w:line="240" w:lineRule="auto"/>
      </w:pPr>
      <w:r>
        <w:separator/>
      </w:r>
    </w:p>
  </w:footnote>
  <w:footnote w:type="continuationSeparator" w:id="0">
    <w:p w:rsidR="00403253" w:rsidRDefault="00403253" w:rsidP="006E7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38F" w:rsidRDefault="00053789" w:rsidP="0050338F">
    <w:pPr>
      <w:tabs>
        <w:tab w:val="left" w:pos="6860"/>
      </w:tabs>
    </w:pPr>
    <w:r>
      <w:rPr>
        <w:noProof/>
        <w:lang w:eastAsia="es-MX"/>
      </w:rPr>
      <w:drawing>
        <wp:anchor distT="0" distB="0" distL="114300" distR="114300" simplePos="0" relativeHeight="251659264" behindDoc="1" locked="0" layoutInCell="1" allowOverlap="1" wp14:anchorId="0FEECEE8" wp14:editId="57845D0B">
          <wp:simplePos x="0" y="0"/>
          <wp:positionH relativeFrom="column">
            <wp:posOffset>-1247140</wp:posOffset>
          </wp:positionH>
          <wp:positionV relativeFrom="paragraph">
            <wp:posOffset>-477520</wp:posOffset>
          </wp:positionV>
          <wp:extent cx="7987665" cy="169481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7665" cy="169481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E26BA"/>
    <w:multiLevelType w:val="hybridMultilevel"/>
    <w:tmpl w:val="BF9A1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815"/>
    <w:rsid w:val="00053789"/>
    <w:rsid w:val="000C1FFF"/>
    <w:rsid w:val="00104AEB"/>
    <w:rsid w:val="001B15A9"/>
    <w:rsid w:val="00403253"/>
    <w:rsid w:val="005436EF"/>
    <w:rsid w:val="005C1F76"/>
    <w:rsid w:val="0067305B"/>
    <w:rsid w:val="006E7815"/>
    <w:rsid w:val="009B77A9"/>
    <w:rsid w:val="00C1309A"/>
    <w:rsid w:val="00CD5B1C"/>
    <w:rsid w:val="00D21F6D"/>
    <w:rsid w:val="00DC63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81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CHTtulo">
    <w:name w:val="CCH Título"/>
    <w:basedOn w:val="Normal"/>
    <w:next w:val="Normal"/>
    <w:autoRedefine/>
    <w:qFormat/>
    <w:rsid w:val="006E7815"/>
    <w:pPr>
      <w:spacing w:after="0"/>
      <w:ind w:left="-142"/>
      <w:jc w:val="center"/>
    </w:pPr>
    <w:rPr>
      <w:rFonts w:ascii="Arial" w:hAnsi="Arial"/>
      <w:b/>
      <w:color w:val="1F497D"/>
      <w:sz w:val="24"/>
    </w:rPr>
  </w:style>
  <w:style w:type="paragraph" w:styleId="Piedepgina">
    <w:name w:val="footer"/>
    <w:basedOn w:val="Normal"/>
    <w:link w:val="PiedepginaCar"/>
    <w:uiPriority w:val="99"/>
    <w:rsid w:val="006E7815"/>
    <w:pPr>
      <w:tabs>
        <w:tab w:val="center" w:pos="4153"/>
        <w:tab w:val="right" w:pos="8306"/>
      </w:tabs>
    </w:pPr>
  </w:style>
  <w:style w:type="character" w:customStyle="1" w:styleId="PiedepginaCar">
    <w:name w:val="Pie de página Car"/>
    <w:basedOn w:val="Fuentedeprrafopredeter"/>
    <w:link w:val="Piedepgina"/>
    <w:uiPriority w:val="99"/>
    <w:rsid w:val="006E7815"/>
    <w:rPr>
      <w:rFonts w:ascii="Calibri" w:eastAsia="Calibri" w:hAnsi="Calibri" w:cs="Times New Roman"/>
    </w:rPr>
  </w:style>
  <w:style w:type="paragraph" w:styleId="Textonotapie">
    <w:name w:val="footnote text"/>
    <w:basedOn w:val="Normal"/>
    <w:link w:val="TextonotapieCar"/>
    <w:uiPriority w:val="99"/>
    <w:semiHidden/>
    <w:unhideWhenUsed/>
    <w:rsid w:val="006E78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E7815"/>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6E7815"/>
    <w:rPr>
      <w:vertAlign w:val="superscript"/>
    </w:rPr>
  </w:style>
  <w:style w:type="paragraph" w:customStyle="1" w:styleId="Predeterminado">
    <w:name w:val="Predeterminado"/>
    <w:rsid w:val="006E7815"/>
    <w:pPr>
      <w:tabs>
        <w:tab w:val="left" w:pos="708"/>
      </w:tabs>
      <w:suppressAutoHyphens/>
      <w:spacing w:after="0" w:line="240" w:lineRule="auto"/>
    </w:pPr>
    <w:rPr>
      <w:rFonts w:ascii="Arial" w:eastAsia="Droid Sans Fallback" w:hAnsi="Arial"/>
      <w:color w:val="00000A"/>
      <w:sz w:val="24"/>
      <w:szCs w:val="24"/>
      <w:lang w:val="es-ES" w:eastAsia="ja-JP"/>
    </w:rPr>
  </w:style>
  <w:style w:type="paragraph" w:customStyle="1" w:styleId="Default">
    <w:name w:val="Default"/>
    <w:rsid w:val="001B15A9"/>
    <w:pPr>
      <w:autoSpaceDE w:val="0"/>
      <w:autoSpaceDN w:val="0"/>
      <w:adjustRightInd w:val="0"/>
      <w:spacing w:after="0" w:line="240" w:lineRule="auto"/>
    </w:pPr>
    <w:rPr>
      <w:rFonts w:ascii="Bookman Old Style" w:eastAsia="Times New Roman" w:hAnsi="Bookman Old Style" w:cs="Bookman Old Style"/>
      <w:color w:val="000000"/>
      <w:sz w:val="24"/>
      <w:szCs w:val="24"/>
      <w:lang w:val="es-ES" w:eastAsia="es-ES"/>
    </w:rPr>
  </w:style>
  <w:style w:type="paragraph" w:styleId="Prrafodelista">
    <w:name w:val="List Paragraph"/>
    <w:basedOn w:val="Normal"/>
    <w:qFormat/>
    <w:rsid w:val="001B15A9"/>
    <w:pPr>
      <w:spacing w:after="0" w:line="360" w:lineRule="auto"/>
      <w:ind w:left="720"/>
      <w:contextualSpacing/>
      <w:jc w:val="both"/>
    </w:pPr>
    <w:rPr>
      <w:rFonts w:eastAsia="Times New Roman"/>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81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CHTtulo">
    <w:name w:val="CCH Título"/>
    <w:basedOn w:val="Normal"/>
    <w:next w:val="Normal"/>
    <w:autoRedefine/>
    <w:qFormat/>
    <w:rsid w:val="006E7815"/>
    <w:pPr>
      <w:spacing w:after="0"/>
      <w:ind w:left="-142"/>
      <w:jc w:val="center"/>
    </w:pPr>
    <w:rPr>
      <w:rFonts w:ascii="Arial" w:hAnsi="Arial"/>
      <w:b/>
      <w:color w:val="1F497D"/>
      <w:sz w:val="24"/>
    </w:rPr>
  </w:style>
  <w:style w:type="paragraph" w:styleId="Piedepgina">
    <w:name w:val="footer"/>
    <w:basedOn w:val="Normal"/>
    <w:link w:val="PiedepginaCar"/>
    <w:uiPriority w:val="99"/>
    <w:rsid w:val="006E7815"/>
    <w:pPr>
      <w:tabs>
        <w:tab w:val="center" w:pos="4153"/>
        <w:tab w:val="right" w:pos="8306"/>
      </w:tabs>
    </w:pPr>
  </w:style>
  <w:style w:type="character" w:customStyle="1" w:styleId="PiedepginaCar">
    <w:name w:val="Pie de página Car"/>
    <w:basedOn w:val="Fuentedeprrafopredeter"/>
    <w:link w:val="Piedepgina"/>
    <w:uiPriority w:val="99"/>
    <w:rsid w:val="006E7815"/>
    <w:rPr>
      <w:rFonts w:ascii="Calibri" w:eastAsia="Calibri" w:hAnsi="Calibri" w:cs="Times New Roman"/>
    </w:rPr>
  </w:style>
  <w:style w:type="paragraph" w:styleId="Textonotapie">
    <w:name w:val="footnote text"/>
    <w:basedOn w:val="Normal"/>
    <w:link w:val="TextonotapieCar"/>
    <w:uiPriority w:val="99"/>
    <w:semiHidden/>
    <w:unhideWhenUsed/>
    <w:rsid w:val="006E78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E7815"/>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6E7815"/>
    <w:rPr>
      <w:vertAlign w:val="superscript"/>
    </w:rPr>
  </w:style>
  <w:style w:type="paragraph" w:customStyle="1" w:styleId="Predeterminado">
    <w:name w:val="Predeterminado"/>
    <w:rsid w:val="006E7815"/>
    <w:pPr>
      <w:tabs>
        <w:tab w:val="left" w:pos="708"/>
      </w:tabs>
      <w:suppressAutoHyphens/>
      <w:spacing w:after="0" w:line="240" w:lineRule="auto"/>
    </w:pPr>
    <w:rPr>
      <w:rFonts w:ascii="Arial" w:eastAsia="Droid Sans Fallback" w:hAnsi="Arial"/>
      <w:color w:val="00000A"/>
      <w:sz w:val="24"/>
      <w:szCs w:val="24"/>
      <w:lang w:val="es-ES" w:eastAsia="ja-JP"/>
    </w:rPr>
  </w:style>
  <w:style w:type="paragraph" w:customStyle="1" w:styleId="Default">
    <w:name w:val="Default"/>
    <w:rsid w:val="001B15A9"/>
    <w:pPr>
      <w:autoSpaceDE w:val="0"/>
      <w:autoSpaceDN w:val="0"/>
      <w:adjustRightInd w:val="0"/>
      <w:spacing w:after="0" w:line="240" w:lineRule="auto"/>
    </w:pPr>
    <w:rPr>
      <w:rFonts w:ascii="Bookman Old Style" w:eastAsia="Times New Roman" w:hAnsi="Bookman Old Style" w:cs="Bookman Old Style"/>
      <w:color w:val="000000"/>
      <w:sz w:val="24"/>
      <w:szCs w:val="24"/>
      <w:lang w:val="es-ES" w:eastAsia="es-ES"/>
    </w:rPr>
  </w:style>
  <w:style w:type="paragraph" w:styleId="Prrafodelista">
    <w:name w:val="List Paragraph"/>
    <w:basedOn w:val="Normal"/>
    <w:qFormat/>
    <w:rsid w:val="001B15A9"/>
    <w:pPr>
      <w:spacing w:after="0" w:line="360" w:lineRule="auto"/>
      <w:ind w:left="720"/>
      <w:contextualSpacing/>
      <w:jc w:val="both"/>
    </w:pPr>
    <w:rPr>
      <w:rFonts w:eastAsia="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2591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yaya</dc:creator>
  <cp:lastModifiedBy>yaya</cp:lastModifiedBy>
  <cp:revision>2</cp:revision>
  <dcterms:created xsi:type="dcterms:W3CDTF">2014-03-19T18:05:00Z</dcterms:created>
  <dcterms:modified xsi:type="dcterms:W3CDTF">2014-03-19T18:05:00Z</dcterms:modified>
</cp:coreProperties>
</file>